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064E8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Promocja kultury i organizacja imprez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064E8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460E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Drugi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3F370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064E8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3F3709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3F370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064E88" w:rsidRDefault="003F3709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064E88" w:rsidRDefault="003F3709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064E88" w:rsidRDefault="00064E88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064E88" w:rsidRDefault="00460EEF" w:rsidP="00460EEF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Egzamin</w:t>
            </w:r>
          </w:p>
        </w:tc>
        <w:tc>
          <w:tcPr>
            <w:tcW w:w="1034" w:type="dxa"/>
            <w:vAlign w:val="center"/>
          </w:tcPr>
          <w:p w:rsidR="00064E88" w:rsidRDefault="00064E88" w:rsidP="00064E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4E88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064E88" w:rsidRPr="00F963EF" w:rsidRDefault="003F3709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064E88" w:rsidRPr="00F963EF" w:rsidRDefault="003F3709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064E88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64E88" w:rsidRPr="00F963EF" w:rsidTr="00F963EF">
        <w:tc>
          <w:tcPr>
            <w:tcW w:w="1101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460EEF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ogólną wiedzę dotyczącą historii kultury oraz filozofii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</w:t>
            </w:r>
            <w:r w:rsidR="00460E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460EEF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relacje między praktycznymi i teoretycznymi aspektami finansowania kultury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</w:t>
            </w:r>
            <w:r w:rsidR="00460E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Rozumie relacje między praktycznymi i teoretycznymi aspektami </w:t>
            </w:r>
            <w:r w:rsidR="00460EEF">
              <w:rPr>
                <w:rFonts w:ascii="Times New Roman" w:hAnsi="Times New Roman"/>
                <w:sz w:val="16"/>
                <w:szCs w:val="16"/>
              </w:rPr>
              <w:t>promocji kultury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posługiwać się językiem fachowym i konstruować wypowiedzi przejrzyste w treści i formie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U02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Umie w twórczy sposób wykorzystać wiedzę teoretyczną w </w:t>
            </w:r>
            <w:r w:rsidR="00160983">
              <w:rPr>
                <w:rFonts w:ascii="Times New Roman" w:hAnsi="Times New Roman"/>
                <w:sz w:val="16"/>
                <w:szCs w:val="16"/>
              </w:rPr>
              <w:t>przygotowaniu imprezy kulturalnej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U01</w:t>
            </w:r>
          </w:p>
        </w:tc>
        <w:tc>
          <w:tcPr>
            <w:tcW w:w="1034" w:type="dxa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985E5A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Umie konstruować wypowiedzi ustne i pisemne związane z tematyką </w:t>
            </w:r>
            <w:r w:rsidR="00160983">
              <w:rPr>
                <w:rFonts w:ascii="Times New Roman" w:hAnsi="Times New Roman"/>
                <w:sz w:val="16"/>
                <w:szCs w:val="16"/>
              </w:rPr>
              <w:t>organizacji imprez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szeroko rozumianą problematyką hu</w:t>
            </w:r>
            <w:r w:rsidR="00877D20">
              <w:rPr>
                <w:rFonts w:ascii="Times New Roman" w:hAnsi="Times New Roman"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sz w:val="16"/>
                <w:szCs w:val="16"/>
              </w:rPr>
              <w:t>anistyczną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160983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:rsidR="00064E88" w:rsidRPr="00F963EF" w:rsidRDefault="00160983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160983" w:rsidP="001609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efektywnego wykorzystania wyobraźni, intuicji, twórczej postawy i samodzielnego myślenia w celu rozwiązywania problemów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</w:t>
            </w:r>
            <w:r w:rsidR="0016098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64E8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64E88" w:rsidRPr="00F963EF" w:rsidRDefault="00064E88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sposób świadomy kontroluje swoje emocje i zachowania</w:t>
            </w:r>
          </w:p>
        </w:tc>
        <w:tc>
          <w:tcPr>
            <w:tcW w:w="1134" w:type="dxa"/>
            <w:gridSpan w:val="2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4CA4">
              <w:rPr>
                <w:rFonts w:ascii="Times New Roman" w:hAnsi="Times New Roman"/>
                <w:sz w:val="16"/>
                <w:szCs w:val="16"/>
              </w:rPr>
              <w:t>K_</w:t>
            </w:r>
            <w:r>
              <w:rPr>
                <w:rFonts w:ascii="Times New Roman" w:hAnsi="Times New Roman"/>
                <w:sz w:val="16"/>
                <w:szCs w:val="16"/>
              </w:rPr>
              <w:t>K05</w:t>
            </w:r>
          </w:p>
        </w:tc>
        <w:tc>
          <w:tcPr>
            <w:tcW w:w="1034" w:type="dxa"/>
            <w:vAlign w:val="center"/>
          </w:tcPr>
          <w:p w:rsidR="00064E88" w:rsidRPr="00F963EF" w:rsidRDefault="00877D20" w:rsidP="00064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1207"/>
        <w:gridCol w:w="2298"/>
        <w:gridCol w:w="3372"/>
        <w:gridCol w:w="1271"/>
      </w:tblGrid>
      <w:tr w:rsidR="002045B6" w:rsidRPr="00F963EF" w:rsidTr="006B4E71">
        <w:trPr>
          <w:trHeight w:val="686"/>
        </w:trPr>
        <w:tc>
          <w:tcPr>
            <w:tcW w:w="2057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643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6B4E71">
        <w:trPr>
          <w:trHeight w:val="686"/>
        </w:trPr>
        <w:tc>
          <w:tcPr>
            <w:tcW w:w="850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6877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1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B4E71" w:rsidRPr="003F3709" w:rsidTr="006B4E71">
        <w:trPr>
          <w:trHeight w:val="492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t>Podstawy systemu finansowego państwa w świetle opodatkowania kultury, imprez kulturalnych, twórców i wykonawców.</w:t>
            </w:r>
          </w:p>
        </w:tc>
        <w:tc>
          <w:tcPr>
            <w:tcW w:w="1271" w:type="dxa"/>
            <w:vAlign w:val="center"/>
          </w:tcPr>
          <w:p w:rsidR="006B4E71" w:rsidRPr="003F3709" w:rsidRDefault="006B4E71" w:rsidP="006B4E71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F3709">
              <w:rPr>
                <w:rFonts w:asciiTheme="minorHAnsi" w:hAnsiTheme="minorHAnsi" w:cstheme="minorHAnsi"/>
                <w:sz w:val="20"/>
              </w:rPr>
              <w:t>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t>Podstawowe informacje o prawach do własności intelektualnych.</w:t>
            </w:r>
          </w:p>
        </w:tc>
        <w:tc>
          <w:tcPr>
            <w:tcW w:w="1271" w:type="dxa"/>
            <w:vAlign w:val="center"/>
          </w:tcPr>
          <w:p w:rsidR="006B4E71" w:rsidRPr="003F3709" w:rsidRDefault="006B4E71" w:rsidP="006B4E71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3F3709">
              <w:rPr>
                <w:rFonts w:asciiTheme="minorHAnsi" w:hAnsiTheme="minorHAnsi" w:cstheme="minorHAnsi"/>
                <w:sz w:val="20"/>
              </w:rPr>
              <w:t>2</w:t>
            </w:r>
          </w:p>
        </w:tc>
      </w:tr>
      <w:tr w:rsidR="006B4E71" w:rsidRPr="003F3709" w:rsidTr="006B4E71">
        <w:trPr>
          <w:trHeight w:val="809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t>Instytucjonalne źródła pozyskiwania środków na cele kulturalne.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</w:p>
          <w:p w:rsidR="006B4E71" w:rsidRPr="003F3709" w:rsidRDefault="006B4E71" w:rsidP="006B4E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1002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Co to jest projekt, program, wniosek?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09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1E5557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Analizy partnerów, problemu, celu i strategii przy przygotowywaniu projektu.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492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1E5557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 xml:space="preserve">Pozioma i pionowa linia </w:t>
            </w:r>
            <w:proofErr w:type="gramStart"/>
            <w:r>
              <w:rPr>
                <w:color w:val="000000"/>
              </w:rPr>
              <w:t>logiczna</w:t>
            </w:r>
            <w:proofErr w:type="gramEnd"/>
            <w:r>
              <w:rPr>
                <w:color w:val="000000"/>
              </w:rPr>
              <w:t xml:space="preserve"> czyli matryca projektu.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Wniosek, jego założenia, działania i budżet.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Ewaluacja i rozliczenie projektu.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Poszukiwania konkretnych źródeł finansowania zadań kulturalnych (zadań własnych i konkursów samorządów, ministerstwa, fundacji itp.).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Promocja kultury - definicje i formy.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492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1E5557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Cele promocji kultury – ich założenia i sposoby realizacji.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597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300601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Promocja kultury krajów poza ich granicami - założenia i cele.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809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1E5557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>Formy i sposoby promocji kultury polskiej na tle zmieniającej się sytuacji międzynarodowej.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3F3709" w:rsidTr="006B4E71">
        <w:trPr>
          <w:trHeight w:val="826"/>
        </w:trPr>
        <w:tc>
          <w:tcPr>
            <w:tcW w:w="850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6877" w:type="dxa"/>
            <w:gridSpan w:val="3"/>
            <w:vAlign w:val="center"/>
          </w:tcPr>
          <w:p w:rsidR="006B4E71" w:rsidRPr="001E5557" w:rsidRDefault="006B4E71" w:rsidP="006B4E71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t xml:space="preserve">Opracowanie w grupach konkretnego projektu z </w:t>
            </w:r>
            <w:proofErr w:type="gramStart"/>
            <w:r>
              <w:rPr>
                <w:color w:val="000000"/>
              </w:rPr>
              <w:t>wnioskiem,  do</w:t>
            </w:r>
            <w:proofErr w:type="gramEnd"/>
            <w:r>
              <w:rPr>
                <w:color w:val="000000"/>
              </w:rPr>
              <w:t xml:space="preserve"> realizacji i rozliczenia według wybranego ogłoszonego źródła finansowania.</w:t>
            </w:r>
          </w:p>
        </w:tc>
        <w:tc>
          <w:tcPr>
            <w:tcW w:w="1271" w:type="dxa"/>
          </w:tcPr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B4E71" w:rsidRPr="003F3709" w:rsidRDefault="006B4E71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F3709">
              <w:rPr>
                <w:rFonts w:asciiTheme="minorHAnsi" w:hAnsiTheme="minorHAnsi" w:cstheme="minorHAnsi"/>
                <w:sz w:val="20"/>
                <w:szCs w:val="20"/>
              </w:rPr>
              <w:t xml:space="preserve">          2</w:t>
            </w:r>
          </w:p>
        </w:tc>
      </w:tr>
      <w:tr w:rsidR="006B4E71" w:rsidRPr="00F963EF" w:rsidTr="006B4E71">
        <w:trPr>
          <w:trHeight w:val="211"/>
        </w:trPr>
        <w:tc>
          <w:tcPr>
            <w:tcW w:w="850" w:type="dxa"/>
          </w:tcPr>
          <w:p w:rsidR="006B4E71" w:rsidRPr="00F963EF" w:rsidRDefault="006B4E71" w:rsidP="006B4E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</w:t>
            </w:r>
          </w:p>
        </w:tc>
        <w:tc>
          <w:tcPr>
            <w:tcW w:w="6877" w:type="dxa"/>
            <w:gridSpan w:val="3"/>
          </w:tcPr>
          <w:p w:rsidR="006B4E71" w:rsidRDefault="006B4E71" w:rsidP="006B4E7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271" w:type="dxa"/>
          </w:tcPr>
          <w:p w:rsidR="006B4E71" w:rsidRPr="003F3709" w:rsidRDefault="003F3709" w:rsidP="006B4E71">
            <w:pPr>
              <w:snapToGri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  <w:r w:rsidRPr="003F3709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</w:tr>
      <w:tr w:rsidR="006B4E71" w:rsidRPr="00F963EF" w:rsidTr="006B4E71">
        <w:trPr>
          <w:trHeight w:val="211"/>
        </w:trPr>
        <w:tc>
          <w:tcPr>
            <w:tcW w:w="7727" w:type="dxa"/>
            <w:gridSpan w:val="4"/>
          </w:tcPr>
          <w:p w:rsidR="006B4E71" w:rsidRPr="00F963EF" w:rsidRDefault="006B4E71" w:rsidP="006B4E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Razem liczba godzin </w:t>
            </w:r>
          </w:p>
        </w:tc>
        <w:tc>
          <w:tcPr>
            <w:tcW w:w="1271" w:type="dxa"/>
          </w:tcPr>
          <w:p w:rsidR="006B4E71" w:rsidRDefault="006B4E71" w:rsidP="006B4E7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3F370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6B4E71" w:rsidRPr="00F963EF" w:rsidTr="00AD03A0">
        <w:tc>
          <w:tcPr>
            <w:tcW w:w="669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  <w:vAlign w:val="center"/>
          </w:tcPr>
          <w:p w:rsidR="006B4E71" w:rsidRPr="00955265" w:rsidRDefault="006B4E71" w:rsidP="006B4E71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51282B">
              <w:rPr>
                <w:rFonts w:ascii="Calibri" w:hAnsi="Calibri"/>
                <w:sz w:val="22"/>
                <w:szCs w:val="22"/>
              </w:rPr>
              <w:t>„Projekty kulturalne – krok po kroku</w:t>
            </w:r>
            <w:r>
              <w:t xml:space="preserve">” </w:t>
            </w:r>
            <w:r w:rsidRPr="00955265">
              <w:rPr>
                <w:rFonts w:ascii="Calibri" w:hAnsi="Calibri"/>
                <w:sz w:val="22"/>
                <w:szCs w:val="22"/>
              </w:rPr>
              <w:t xml:space="preserve">Urząd Komitetu Integracji Europejskiej i </w:t>
            </w:r>
          </w:p>
          <w:p w:rsidR="006B4E71" w:rsidRPr="0078580E" w:rsidRDefault="006B4E71" w:rsidP="006B4E7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55265">
              <w:t>Narodowe Centrum Kultury</w:t>
            </w:r>
          </w:p>
        </w:tc>
      </w:tr>
      <w:tr w:rsidR="006B4E71" w:rsidRPr="00F963EF" w:rsidTr="00877D20">
        <w:tc>
          <w:tcPr>
            <w:tcW w:w="669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  <w:vAlign w:val="center"/>
          </w:tcPr>
          <w:p w:rsidR="006B4E71" w:rsidRPr="00955265" w:rsidRDefault="006B4E71" w:rsidP="006B4E71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2"/>
                <w:szCs w:val="22"/>
              </w:rPr>
            </w:pPr>
            <w:r w:rsidRPr="00955265">
              <w:rPr>
                <w:rFonts w:ascii="Calibri" w:hAnsi="Calibri"/>
                <w:sz w:val="22"/>
                <w:szCs w:val="22"/>
              </w:rPr>
              <w:t>Ustawa o bezpieczeństwie imprez masowych z 20.03.2009r.</w:t>
            </w:r>
          </w:p>
        </w:tc>
      </w:tr>
      <w:tr w:rsidR="006B4E71" w:rsidRPr="00F963EF" w:rsidTr="00877D20">
        <w:tc>
          <w:tcPr>
            <w:tcW w:w="669" w:type="dxa"/>
          </w:tcPr>
          <w:p w:rsidR="006B4E71" w:rsidRPr="00A43E72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E7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  <w:vAlign w:val="center"/>
          </w:tcPr>
          <w:p w:rsidR="006B4E71" w:rsidRPr="0078580E" w:rsidRDefault="006B4E71" w:rsidP="006B4E71">
            <w:pPr>
              <w:spacing w:line="360" w:lineRule="auto"/>
            </w:pPr>
            <w:r>
              <w:t>Ustawa o organizowaniu i prowadzeniu działalności kulturalnej z 25.10.1991r.</w:t>
            </w:r>
          </w:p>
        </w:tc>
      </w:tr>
      <w:tr w:rsidR="006B4E71" w:rsidRPr="00F963EF" w:rsidTr="00877D20">
        <w:tc>
          <w:tcPr>
            <w:tcW w:w="669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1" w:type="dxa"/>
            <w:vAlign w:val="center"/>
          </w:tcPr>
          <w:p w:rsidR="006B4E71" w:rsidRPr="0051282B" w:rsidRDefault="006B4E71" w:rsidP="006B4E71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caps/>
                <w:sz w:val="22"/>
                <w:szCs w:val="22"/>
              </w:rPr>
            </w:pPr>
            <w:r w:rsidRPr="00955265">
              <w:rPr>
                <w:rFonts w:ascii="Calibri" w:hAnsi="Calibri"/>
                <w:sz w:val="22"/>
                <w:szCs w:val="22"/>
              </w:rPr>
              <w:t xml:space="preserve">„Organizacja i </w:t>
            </w:r>
            <w:proofErr w:type="spellStart"/>
            <w:r w:rsidRPr="00955265">
              <w:rPr>
                <w:rFonts w:ascii="Calibri" w:hAnsi="Calibri"/>
                <w:sz w:val="22"/>
                <w:szCs w:val="22"/>
              </w:rPr>
              <w:t>upowszechnanie</w:t>
            </w:r>
            <w:proofErr w:type="spellEnd"/>
            <w:r w:rsidRPr="00955265">
              <w:rPr>
                <w:rFonts w:ascii="Calibri" w:hAnsi="Calibri"/>
                <w:sz w:val="22"/>
                <w:szCs w:val="22"/>
              </w:rPr>
              <w:t xml:space="preserve"> kultury w Polsce”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55265">
              <w:rPr>
                <w:rFonts w:ascii="Calibri" w:hAnsi="Calibri"/>
                <w:sz w:val="22"/>
                <w:szCs w:val="22"/>
              </w:rPr>
              <w:t>Jan Grad, Urszula Kaczmarek</w:t>
            </w:r>
          </w:p>
        </w:tc>
      </w:tr>
      <w:tr w:rsidR="006B4E71" w:rsidRPr="00F963EF" w:rsidTr="00877D20">
        <w:tc>
          <w:tcPr>
            <w:tcW w:w="669" w:type="dxa"/>
          </w:tcPr>
          <w:p w:rsidR="006B4E71" w:rsidRDefault="006B4E71" w:rsidP="006B4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8391" w:type="dxa"/>
          </w:tcPr>
          <w:p w:rsidR="006B4E71" w:rsidRDefault="006B4E71" w:rsidP="006B4E71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t xml:space="preserve">„Organizacja imprez” </w:t>
            </w:r>
            <w:r w:rsidRPr="00300601">
              <w:t>Judy Allen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64E88"/>
    <w:rsid w:val="00122C25"/>
    <w:rsid w:val="001419C2"/>
    <w:rsid w:val="001518ED"/>
    <w:rsid w:val="00160983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3F3709"/>
    <w:rsid w:val="00413BFE"/>
    <w:rsid w:val="00426D96"/>
    <w:rsid w:val="004442F0"/>
    <w:rsid w:val="00457E79"/>
    <w:rsid w:val="00460EEF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B4E71"/>
    <w:rsid w:val="007131D6"/>
    <w:rsid w:val="00877D20"/>
    <w:rsid w:val="008A0C0B"/>
    <w:rsid w:val="0091693F"/>
    <w:rsid w:val="009355A3"/>
    <w:rsid w:val="00985E5A"/>
    <w:rsid w:val="0099491A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A3107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877D20"/>
    <w:pPr>
      <w:suppressAutoHyphens/>
    </w:pPr>
    <w:rPr>
      <w:rFonts w:ascii="Helvetica" w:eastAsia="ヒラギノ角ゴ Pro W3" w:hAnsi="Helvetica" w:cs="Calibri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5</cp:revision>
  <cp:lastPrinted>2019-04-12T08:28:00Z</cp:lastPrinted>
  <dcterms:created xsi:type="dcterms:W3CDTF">2019-07-29T13:34:00Z</dcterms:created>
  <dcterms:modified xsi:type="dcterms:W3CDTF">2019-09-16T15:18:00Z</dcterms:modified>
</cp:coreProperties>
</file>